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442" w:rsidRDefault="00AC1442" w:rsidP="00AC1442">
      <w:pPr>
        <w:pStyle w:val="a7"/>
        <w:spacing w:line="240" w:lineRule="exact"/>
        <w:rPr>
          <w:rFonts w:ascii="微软雅黑" w:eastAsia="微软雅黑" w:hAnsi="微软雅黑" w:hint="default"/>
          <w:sz w:val="22"/>
          <w:szCs w:val="22"/>
        </w:rPr>
      </w:pPr>
    </w:p>
    <w:p w:rsidR="000C0329" w:rsidRPr="00AC1442" w:rsidRDefault="003B552A" w:rsidP="00AC1442">
      <w:pPr>
        <w:pStyle w:val="a7"/>
        <w:spacing w:line="600" w:lineRule="exact"/>
        <w:rPr>
          <w:rFonts w:ascii="微软雅黑" w:eastAsia="微软雅黑" w:hAnsi="微软雅黑" w:hint="default"/>
          <w:b/>
          <w:bCs/>
          <w:color w:val="7030A0"/>
          <w:sz w:val="40"/>
          <w:szCs w:val="40"/>
        </w:rPr>
      </w:pPr>
      <w:r w:rsidRPr="00AC1442">
        <w:rPr>
          <w:rFonts w:ascii="微软雅黑" w:eastAsia="微软雅黑" w:hAnsi="微软雅黑"/>
          <w:b/>
          <w:bCs/>
          <w:color w:val="7030A0"/>
          <w:sz w:val="40"/>
          <w:szCs w:val="40"/>
        </w:rPr>
        <w:t>最高人民法院</w:t>
      </w:r>
    </w:p>
    <w:p w:rsidR="000C0329" w:rsidRPr="00AC1442" w:rsidRDefault="003B552A" w:rsidP="00AC1442">
      <w:pPr>
        <w:pStyle w:val="a7"/>
        <w:spacing w:line="600" w:lineRule="exact"/>
        <w:rPr>
          <w:rFonts w:ascii="微软雅黑" w:eastAsia="微软雅黑" w:hAnsi="微软雅黑" w:hint="default"/>
          <w:b/>
          <w:bCs/>
          <w:color w:val="7030A0"/>
          <w:sz w:val="40"/>
          <w:szCs w:val="40"/>
        </w:rPr>
      </w:pPr>
      <w:r w:rsidRPr="00AC1442">
        <w:rPr>
          <w:rFonts w:ascii="微软雅黑" w:eastAsia="微软雅黑" w:hAnsi="微软雅黑"/>
          <w:b/>
          <w:bCs/>
          <w:color w:val="7030A0"/>
          <w:sz w:val="40"/>
          <w:szCs w:val="40"/>
        </w:rPr>
        <w:t>关于严格</w:t>
      </w:r>
      <w:proofErr w:type="gramStart"/>
      <w:r w:rsidRPr="00AC1442">
        <w:rPr>
          <w:rFonts w:ascii="微软雅黑" w:eastAsia="微软雅黑" w:hAnsi="微软雅黑"/>
          <w:b/>
          <w:bCs/>
          <w:color w:val="7030A0"/>
          <w:sz w:val="40"/>
          <w:szCs w:val="40"/>
        </w:rPr>
        <w:t>规范民</w:t>
      </w:r>
      <w:proofErr w:type="gramEnd"/>
      <w:r w:rsidRPr="00AC1442">
        <w:rPr>
          <w:rFonts w:ascii="微软雅黑" w:eastAsia="微软雅黑" w:hAnsi="微软雅黑"/>
          <w:b/>
          <w:bCs/>
          <w:color w:val="7030A0"/>
          <w:sz w:val="40"/>
          <w:szCs w:val="40"/>
        </w:rPr>
        <w:t>商事案件延长审限和延期开庭问题的规定</w:t>
      </w:r>
    </w:p>
    <w:p w:rsidR="000C0329" w:rsidRDefault="000C0329" w:rsidP="00AC1442">
      <w:pPr>
        <w:pStyle w:val="a8"/>
        <w:spacing w:line="240" w:lineRule="exact"/>
        <w:ind w:firstLineChars="0" w:firstLine="0"/>
        <w:rPr>
          <w:rFonts w:ascii="微软雅黑" w:eastAsia="微软雅黑" w:hAnsi="微软雅黑" w:cs="宋体"/>
          <w:sz w:val="22"/>
          <w:szCs w:val="22"/>
        </w:rPr>
      </w:pPr>
    </w:p>
    <w:p w:rsidR="00AC1442" w:rsidRDefault="00AC1442" w:rsidP="00AC1442">
      <w:pPr>
        <w:pStyle w:val="a8"/>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2019-03-28</w:t>
      </w:r>
    </w:p>
    <w:p w:rsidR="00AC1442" w:rsidRDefault="00AC1442" w:rsidP="00AC1442">
      <w:pPr>
        <w:pStyle w:val="a8"/>
        <w:spacing w:line="240" w:lineRule="exact"/>
        <w:ind w:firstLineChars="0" w:firstLine="0"/>
        <w:rPr>
          <w:rFonts w:ascii="微软雅黑" w:eastAsia="微软雅黑" w:hAnsi="微软雅黑" w:cs="宋体"/>
          <w:sz w:val="22"/>
          <w:szCs w:val="22"/>
        </w:rPr>
      </w:pPr>
      <w:bookmarkStart w:id="0" w:name="_GoBack"/>
      <w:bookmarkEnd w:id="0"/>
    </w:p>
    <w:p w:rsidR="00AC1442" w:rsidRDefault="00AC1442" w:rsidP="00AC1442">
      <w:pPr>
        <w:pStyle w:val="a8"/>
        <w:spacing w:line="240" w:lineRule="exact"/>
        <w:ind w:firstLineChars="0" w:firstLine="0"/>
        <w:jc w:val="center"/>
        <w:rPr>
          <w:rFonts w:ascii="微软雅黑" w:eastAsia="微软雅黑" w:hAnsi="微软雅黑" w:cs="宋体"/>
          <w:sz w:val="22"/>
          <w:szCs w:val="22"/>
        </w:rPr>
      </w:pPr>
      <w:r w:rsidRPr="00AC1442">
        <w:rPr>
          <w:rFonts w:ascii="微软雅黑" w:eastAsia="微软雅黑" w:hAnsi="微软雅黑" w:cs="宋体" w:hint="eastAsia"/>
          <w:sz w:val="22"/>
          <w:szCs w:val="22"/>
        </w:rPr>
        <w:t>法释〔2019〕4号</w:t>
      </w:r>
    </w:p>
    <w:p w:rsidR="00AC1442" w:rsidRPr="00AC1442" w:rsidRDefault="00AC1442" w:rsidP="00AC1442">
      <w:pPr>
        <w:pStyle w:val="a8"/>
        <w:spacing w:line="240" w:lineRule="exact"/>
        <w:ind w:firstLineChars="0" w:firstLine="0"/>
        <w:rPr>
          <w:rFonts w:ascii="微软雅黑" w:eastAsia="微软雅黑" w:hAnsi="微软雅黑" w:cs="宋体"/>
          <w:sz w:val="22"/>
          <w:szCs w:val="22"/>
        </w:rPr>
      </w:pPr>
    </w:p>
    <w:p w:rsidR="000C0329" w:rsidRPr="00AC1442" w:rsidRDefault="003B552A" w:rsidP="00AC1442">
      <w:pPr>
        <w:pStyle w:val="a9"/>
        <w:spacing w:line="240" w:lineRule="exact"/>
        <w:ind w:leftChars="200" w:left="420" w:rightChars="200" w:right="420" w:firstLineChars="200" w:firstLine="420"/>
        <w:rPr>
          <w:rFonts w:ascii="微软雅黑" w:eastAsia="微软雅黑" w:hAnsi="微软雅黑"/>
          <w:sz w:val="21"/>
          <w:szCs w:val="21"/>
        </w:rPr>
      </w:pPr>
      <w:r w:rsidRPr="00AC1442">
        <w:rPr>
          <w:rFonts w:ascii="微软雅黑" w:eastAsia="微软雅黑" w:hAnsi="微软雅黑" w:hint="eastAsia"/>
          <w:sz w:val="21"/>
          <w:szCs w:val="21"/>
        </w:rPr>
        <w:t>（2018年4月23日最高人民法院审判委员会第1737次会议通过，根据2019年2月25日最高人民法院审判委员会第1762次会议通过的《最高人民法院关于修改〈最高人民法院关于严格规范民商事案件延长审限和延期开庭问题的规定〉的决定》修正）</w:t>
      </w:r>
    </w:p>
    <w:p w:rsidR="000C0329" w:rsidRPr="00AC1442" w:rsidRDefault="000C0329" w:rsidP="00AC1442">
      <w:pPr>
        <w:pStyle w:val="a8"/>
        <w:spacing w:line="340" w:lineRule="exact"/>
        <w:ind w:firstLine="480"/>
        <w:rPr>
          <w:rFonts w:ascii="微软雅黑" w:eastAsia="微软雅黑" w:hAnsi="微软雅黑" w:cs="宋体"/>
          <w:sz w:val="24"/>
          <w:szCs w:val="24"/>
        </w:rPr>
      </w:pP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为维护诉讼当事人合法权益，根据《中华人民共和国民事诉讼法》等规定，结合审判实际，现就民商事案件延长审限和延期开庭等有关问题规定如下。</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第一条</w:t>
      </w:r>
      <w:r w:rsidRPr="00AC1442">
        <w:rPr>
          <w:rFonts w:ascii="微软雅黑" w:eastAsia="微软雅黑" w:hAnsi="微软雅黑" w:cs="宋体" w:hint="eastAsia"/>
          <w:sz w:val="24"/>
          <w:szCs w:val="24"/>
        </w:rPr>
        <w:t xml:space="preserve">  人民法院审理民商事案件时，应当严格遵守法律及司法解释有关审限的规定。适用普通程序审理的第一审案件，审限为六个月；适用简易程序审理的第一审案件，审限为三个月。审理对判决的上诉案件，审限为三个月；审理对裁定的上诉案件，审限为三十日。</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法律规定有特殊情况需要延长审限的，独任审判员或合议庭应当在期限届满十五日前向本院院长提出申请，并说明详细情况和理由。院长应当在期限届满五日前</w:t>
      </w:r>
      <w:proofErr w:type="gramStart"/>
      <w:r w:rsidRPr="00AC1442">
        <w:rPr>
          <w:rFonts w:ascii="微软雅黑" w:eastAsia="微软雅黑" w:hAnsi="微软雅黑" w:cs="宋体" w:hint="eastAsia"/>
          <w:sz w:val="24"/>
          <w:szCs w:val="24"/>
        </w:rPr>
        <w:t>作出</w:t>
      </w:r>
      <w:proofErr w:type="gramEnd"/>
      <w:r w:rsidRPr="00AC1442">
        <w:rPr>
          <w:rFonts w:ascii="微软雅黑" w:eastAsia="微软雅黑" w:hAnsi="微软雅黑" w:cs="宋体" w:hint="eastAsia"/>
          <w:sz w:val="24"/>
          <w:szCs w:val="24"/>
        </w:rPr>
        <w:t>决定。</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经本院院长批准延长</w:t>
      </w:r>
      <w:proofErr w:type="gramStart"/>
      <w:r w:rsidRPr="00AC1442">
        <w:rPr>
          <w:rFonts w:ascii="微软雅黑" w:eastAsia="微软雅黑" w:hAnsi="微软雅黑" w:cs="宋体" w:hint="eastAsia"/>
          <w:sz w:val="24"/>
          <w:szCs w:val="24"/>
        </w:rPr>
        <w:t>审限后尚</w:t>
      </w:r>
      <w:proofErr w:type="gramEnd"/>
      <w:r w:rsidRPr="00AC1442">
        <w:rPr>
          <w:rFonts w:ascii="微软雅黑" w:eastAsia="微软雅黑" w:hAnsi="微软雅黑" w:cs="宋体" w:hint="eastAsia"/>
          <w:sz w:val="24"/>
          <w:szCs w:val="24"/>
        </w:rPr>
        <w:t>不能结案，需要再次延长的，应当在期限届满十五日前报请上级人民法院批准。上级人民法院应当在审限届满五日前</w:t>
      </w:r>
      <w:proofErr w:type="gramStart"/>
      <w:r w:rsidRPr="00AC1442">
        <w:rPr>
          <w:rFonts w:ascii="微软雅黑" w:eastAsia="微软雅黑" w:hAnsi="微软雅黑" w:cs="宋体" w:hint="eastAsia"/>
          <w:sz w:val="24"/>
          <w:szCs w:val="24"/>
        </w:rPr>
        <w:t>作出</w:t>
      </w:r>
      <w:proofErr w:type="gramEnd"/>
      <w:r w:rsidRPr="00AC1442">
        <w:rPr>
          <w:rFonts w:ascii="微软雅黑" w:eastAsia="微软雅黑" w:hAnsi="微软雅黑" w:cs="宋体" w:hint="eastAsia"/>
          <w:sz w:val="24"/>
          <w:szCs w:val="24"/>
        </w:rPr>
        <w:t>决定。</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第二条</w:t>
      </w:r>
      <w:r w:rsidRPr="00AC1442">
        <w:rPr>
          <w:rFonts w:ascii="微软雅黑" w:eastAsia="微软雅黑" w:hAnsi="微软雅黑" w:cs="宋体" w:hint="eastAsia"/>
          <w:sz w:val="24"/>
          <w:szCs w:val="24"/>
        </w:rPr>
        <w:t xml:space="preserve">  民事诉讼法第一百四十六条第四项规定的“其他应当延期的情形”，是指因不可抗力或者意外事件导致庭审无法正常进行的情形。</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第三条</w:t>
      </w:r>
      <w:r w:rsidRPr="00AC1442">
        <w:rPr>
          <w:rFonts w:ascii="微软雅黑" w:eastAsia="微软雅黑" w:hAnsi="微软雅黑" w:cs="宋体" w:hint="eastAsia"/>
          <w:sz w:val="24"/>
          <w:szCs w:val="24"/>
        </w:rPr>
        <w:t xml:space="preserve">  人民法院应当严格限制延期开庭审理次数。适用普通程序审理民商事案件，延期开庭审理次数不超过两次；适用简易程序以及</w:t>
      </w:r>
      <w:proofErr w:type="gramStart"/>
      <w:r w:rsidRPr="00AC1442">
        <w:rPr>
          <w:rFonts w:ascii="微软雅黑" w:eastAsia="微软雅黑" w:hAnsi="微软雅黑" w:cs="宋体" w:hint="eastAsia"/>
          <w:sz w:val="24"/>
          <w:szCs w:val="24"/>
        </w:rPr>
        <w:t>小额速裁程序</w:t>
      </w:r>
      <w:proofErr w:type="gramEnd"/>
      <w:r w:rsidRPr="00AC1442">
        <w:rPr>
          <w:rFonts w:ascii="微软雅黑" w:eastAsia="微软雅黑" w:hAnsi="微软雅黑" w:cs="宋体" w:hint="eastAsia"/>
          <w:sz w:val="24"/>
          <w:szCs w:val="24"/>
        </w:rPr>
        <w:t>审理民商事案件，延期开庭审理次数不超过一次。</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第四条</w:t>
      </w:r>
      <w:r w:rsidRPr="00AC1442">
        <w:rPr>
          <w:rFonts w:ascii="微软雅黑" w:eastAsia="微软雅黑" w:hAnsi="微软雅黑" w:cs="宋体" w:hint="eastAsia"/>
          <w:sz w:val="24"/>
          <w:szCs w:val="24"/>
        </w:rPr>
        <w:t xml:space="preserve">  基层人民法院及其派出的法庭审理事实清楚、权利义务关系明确、争议不大的简单民商事案件，适用简易程序。</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基层人民法院及其派出的法庭审理符合前款规定且标的额为各省、自治区、直辖市上年度就业人员年平均工资两倍以下的民商事案件，应当适用简易程序，法律及司法解释规定不适用简易程序的案件除外。</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适用简易程序审理的民商事案件，证据交换、庭前会议等庭前准备程序与开庭程序一并进行，不再另行组织。</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AC1442">
        <w:rPr>
          <w:rFonts w:ascii="微软雅黑" w:eastAsia="微软雅黑" w:hAnsi="微软雅黑" w:cs="宋体" w:hint="eastAsia"/>
          <w:sz w:val="24"/>
          <w:szCs w:val="24"/>
        </w:rPr>
        <w:t>适用简易程序的案件，不适用公告送达。</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第五条</w:t>
      </w:r>
      <w:r w:rsidRPr="00AC1442">
        <w:rPr>
          <w:rFonts w:ascii="微软雅黑" w:eastAsia="微软雅黑" w:hAnsi="微软雅黑" w:cs="宋体" w:hint="eastAsia"/>
          <w:sz w:val="24"/>
          <w:szCs w:val="24"/>
        </w:rPr>
        <w:t xml:space="preserve">  人民法院开庭审理民商事案件后，认为需要延期开庭审理的，应当依法告知当事人下次开庭的时间。两次开庭间隔时间不得超过一个月，但因不可抗力或当事人同意的除外。</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 xml:space="preserve">第六条 </w:t>
      </w:r>
      <w:r w:rsidRPr="00AC1442">
        <w:rPr>
          <w:rFonts w:ascii="微软雅黑" w:eastAsia="微软雅黑" w:hAnsi="微软雅黑" w:cs="宋体" w:hint="eastAsia"/>
          <w:sz w:val="24"/>
          <w:szCs w:val="24"/>
        </w:rPr>
        <w:t xml:space="preserve"> 独任审判员或者合议庭适用民事诉讼法第一百四十六条第四项规定决定延期开庭的，应当报本院院长批准。</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第七条</w:t>
      </w:r>
      <w:r w:rsidRPr="00AC1442">
        <w:rPr>
          <w:rFonts w:ascii="微软雅黑" w:eastAsia="微软雅黑" w:hAnsi="微软雅黑" w:cs="宋体" w:hint="eastAsia"/>
          <w:sz w:val="24"/>
          <w:szCs w:val="24"/>
        </w:rPr>
        <w:t xml:space="preserve">  人民法院应当将案件的立案时间、审理期限，扣除、延长、重新计算审限，延期开庭审理的情况及事由，按照《最高人民法院关于人民法院通过互联网公开审判流程信息的规定》及时向当事人及其法定代理人、诉讼代理人公开。当事人及其法定代理人、诉讼代理人有异议的，可以依法向受理案件的法院申请监督。</w:t>
      </w:r>
    </w:p>
    <w:p w:rsidR="000C0329" w:rsidRPr="00AC1442" w:rsidRDefault="003B552A" w:rsidP="00AC1442">
      <w:pPr>
        <w:pStyle w:val="a3"/>
        <w:spacing w:line="340" w:lineRule="exact"/>
        <w:ind w:firstLineChars="200" w:firstLine="480"/>
        <w:rPr>
          <w:rFonts w:ascii="微软雅黑" w:eastAsia="微软雅黑" w:hAnsi="微软雅黑" w:cs="宋体"/>
          <w:sz w:val="24"/>
          <w:szCs w:val="24"/>
        </w:rPr>
      </w:pPr>
      <w:r w:rsidRPr="008E4BA3">
        <w:rPr>
          <w:rFonts w:ascii="微软雅黑" w:eastAsia="微软雅黑" w:hAnsi="微软雅黑" w:cs="宋体" w:hint="eastAsia"/>
          <w:b/>
          <w:bCs/>
          <w:sz w:val="24"/>
          <w:szCs w:val="24"/>
        </w:rPr>
        <w:t>第八条</w:t>
      </w:r>
      <w:r w:rsidRPr="00AC1442">
        <w:rPr>
          <w:rFonts w:ascii="微软雅黑" w:eastAsia="微软雅黑" w:hAnsi="微软雅黑" w:cs="宋体" w:hint="eastAsia"/>
          <w:sz w:val="24"/>
          <w:szCs w:val="24"/>
        </w:rPr>
        <w:t xml:space="preserve">  故意违反法律、审判纪律、审判管理规定拖延办案，或者因过失延误办案，造成严重后果的，依照《人民法院工作人员处分条例》第四十七条的规定予以处分。</w:t>
      </w:r>
    </w:p>
    <w:p w:rsidR="000C0329" w:rsidRPr="00AC1442" w:rsidRDefault="003B552A" w:rsidP="00AC1442">
      <w:pPr>
        <w:pStyle w:val="a3"/>
        <w:spacing w:line="340" w:lineRule="exact"/>
        <w:ind w:firstLineChars="200" w:firstLine="480"/>
        <w:rPr>
          <w:rFonts w:ascii="微软雅黑" w:eastAsia="微软雅黑" w:hAnsi="微软雅黑"/>
          <w:sz w:val="24"/>
          <w:szCs w:val="24"/>
        </w:rPr>
      </w:pPr>
      <w:r w:rsidRPr="008E4BA3">
        <w:rPr>
          <w:rFonts w:ascii="微软雅黑" w:eastAsia="微软雅黑" w:hAnsi="微软雅黑" w:cs="宋体" w:hint="eastAsia"/>
          <w:b/>
          <w:bCs/>
          <w:sz w:val="24"/>
          <w:szCs w:val="24"/>
        </w:rPr>
        <w:t>第九条</w:t>
      </w:r>
      <w:r w:rsidRPr="00AC1442">
        <w:rPr>
          <w:rFonts w:ascii="微软雅黑" w:eastAsia="微软雅黑" w:hAnsi="微软雅黑" w:cs="宋体" w:hint="eastAsia"/>
          <w:sz w:val="24"/>
          <w:szCs w:val="24"/>
        </w:rPr>
        <w:t xml:space="preserve">  本规定自2018年4月26日起施行；最高人民法院此前发布的司法解释及规范性文件与本规定不一致的，以本规定为准。</w:t>
      </w:r>
    </w:p>
    <w:sectPr w:rsidR="000C0329" w:rsidRPr="00AC1442" w:rsidSect="00AC1442">
      <w:headerReference w:type="even" r:id="rId7"/>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A99" w:rsidRDefault="00865A99">
      <w:r>
        <w:separator/>
      </w:r>
    </w:p>
  </w:endnote>
  <w:endnote w:type="continuationSeparator" w:id="0">
    <w:p w:rsidR="00865A99" w:rsidRDefault="0086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329" w:rsidRDefault="003B552A">
    <w:pPr>
      <w:pStyle w:val="a4"/>
      <w:framePr w:wrap="around" w:vAnchor="text" w:hAnchor="page" w:x="1837" w:y="-167"/>
      <w:rPr>
        <w:rStyle w:val="a6"/>
      </w:rPr>
    </w:pPr>
    <w:r>
      <w:rPr>
        <w:rStyle w:val="a6"/>
        <w:rFonts w:asciiTheme="minorEastAsia" w:eastAsiaTheme="minorEastAsia" w:hAnsiTheme="minorEastAsia" w:cstheme="minorEastAsia" w:hint="eastAsia"/>
        <w:sz w:val="28"/>
        <w:szCs w:val="28"/>
      </w:rPr>
      <w:fldChar w:fldCharType="begin"/>
    </w:r>
    <w:r>
      <w:rPr>
        <w:rStyle w:val="a6"/>
        <w:rFonts w:asciiTheme="minorEastAsia" w:eastAsiaTheme="minorEastAsia" w:hAnsiTheme="minorEastAsia" w:cstheme="minorEastAsia" w:hint="eastAsia"/>
        <w:sz w:val="28"/>
        <w:szCs w:val="28"/>
      </w:rPr>
      <w:instrText xml:space="preserve">PAGE  </w:instrText>
    </w:r>
    <w:r>
      <w:rPr>
        <w:rStyle w:val="a6"/>
        <w:rFonts w:asciiTheme="minorEastAsia" w:eastAsiaTheme="minorEastAsia" w:hAnsiTheme="minorEastAsia" w:cstheme="minorEastAsia" w:hint="eastAsia"/>
        <w:sz w:val="28"/>
        <w:szCs w:val="28"/>
      </w:rPr>
      <w:fldChar w:fldCharType="end"/>
    </w:r>
  </w:p>
  <w:p w:rsidR="000C0329" w:rsidRDefault="000C0329">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329" w:rsidRDefault="003B552A">
    <w:pPr>
      <w:pStyle w:val="a4"/>
      <w:ind w:right="360"/>
    </w:pPr>
    <w:r>
      <w:rPr>
        <w:noProof/>
      </w:rPr>
      <mc:AlternateContent>
        <mc:Choice Requires="wps">
          <w:drawing>
            <wp:anchor distT="0" distB="0" distL="114300" distR="114300" simplePos="0" relativeHeight="251658752" behindDoc="0" locked="0" layoutInCell="1" allowOverlap="1">
              <wp:simplePos x="0" y="0"/>
              <wp:positionH relativeFrom="margin">
                <wp:posOffset>6189980</wp:posOffset>
              </wp:positionH>
              <wp:positionV relativeFrom="paragraph">
                <wp:posOffset>-135255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0C0329" w:rsidRDefault="003B552A">
                          <w:pPr>
                            <w:pStyle w:val="a4"/>
                            <w:rPr>
                              <w:rStyle w:val="a6"/>
                            </w:rPr>
                          </w:pPr>
                          <w:r>
                            <w:rPr>
                              <w:rStyle w:val="a6"/>
                              <w:rFonts w:asciiTheme="minorEastAsia" w:eastAsiaTheme="minorEastAsia" w:hAnsiTheme="minorEastAsia" w:cstheme="minorEastAsia" w:hint="eastAsia"/>
                              <w:sz w:val="28"/>
                              <w:szCs w:val="28"/>
                            </w:rPr>
                            <w:fldChar w:fldCharType="begin"/>
                          </w:r>
                          <w:r>
                            <w:rPr>
                              <w:rStyle w:val="a6"/>
                              <w:rFonts w:asciiTheme="minorEastAsia" w:eastAsiaTheme="minorEastAsia" w:hAnsiTheme="minorEastAsia" w:cstheme="minorEastAsia" w:hint="eastAsia"/>
                              <w:sz w:val="28"/>
                              <w:szCs w:val="28"/>
                            </w:rPr>
                            <w:instrText xml:space="preserve">PAGE  </w:instrText>
                          </w:r>
                          <w:r>
                            <w:rPr>
                              <w:rStyle w:val="a6"/>
                              <w:rFonts w:asciiTheme="minorEastAsia" w:eastAsiaTheme="minorEastAsia" w:hAnsiTheme="minorEastAsia" w:cstheme="minorEastAsia" w:hint="eastAsia"/>
                              <w:sz w:val="28"/>
                              <w:szCs w:val="28"/>
                            </w:rPr>
                            <w:fldChar w:fldCharType="separate"/>
                          </w:r>
                          <w:r>
                            <w:rPr>
                              <w:rStyle w:val="a6"/>
                              <w:rFonts w:asciiTheme="minorEastAsia" w:eastAsiaTheme="minorEastAsia" w:hAnsiTheme="minorEastAsia" w:cstheme="minorEastAsia" w:hint="eastAsia"/>
                              <w:sz w:val="28"/>
                              <w:szCs w:val="28"/>
                            </w:rPr>
                            <w:t>0</w:t>
                          </w:r>
                          <w:r>
                            <w:rPr>
                              <w:rStyle w:val="a6"/>
                              <w:rFonts w:asciiTheme="minorEastAsia" w:eastAsiaTheme="minorEastAsia" w:hAnsiTheme="minorEastAsia" w:cstheme="minorEastAsia"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7.4pt;margin-top:-10.65pt;width:2in;height:2in;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" filled="f" stroked="f">
              <v:textbox style="mso-fit-shape-to-text:t" inset="0,0,0,0">
                <w:txbxContent>
                  <w:p w:rsidR="000C0329" w:rsidRDefault="003B552A">
                    <w:pPr>
                      <w:pStyle w:val="a4"/>
                      <w:rPr>
                        <w:rStyle w:val="a6"/>
                      </w:rPr>
                    </w:pPr>
                    <w:r>
                      <w:rPr>
                        <w:rStyle w:val="a6"/>
                        <w:rFonts w:asciiTheme="minorEastAsia" w:eastAsiaTheme="minorEastAsia" w:hAnsiTheme="minorEastAsia" w:cstheme="minorEastAsia" w:hint="eastAsia"/>
                        <w:sz w:val="28"/>
                        <w:szCs w:val="28"/>
                      </w:rPr>
                      <w:fldChar w:fldCharType="begin"/>
                    </w:r>
                    <w:r>
                      <w:rPr>
                        <w:rStyle w:val="a6"/>
                        <w:rFonts w:asciiTheme="minorEastAsia" w:eastAsiaTheme="minorEastAsia" w:hAnsiTheme="minorEastAsia" w:cstheme="minorEastAsia" w:hint="eastAsia"/>
                        <w:sz w:val="28"/>
                        <w:szCs w:val="28"/>
                      </w:rPr>
                      <w:instrText xml:space="preserve">PAGE  </w:instrText>
                    </w:r>
                    <w:r>
                      <w:rPr>
                        <w:rStyle w:val="a6"/>
                        <w:rFonts w:asciiTheme="minorEastAsia" w:eastAsiaTheme="minorEastAsia" w:hAnsiTheme="minorEastAsia" w:cstheme="minorEastAsia" w:hint="eastAsia"/>
                        <w:sz w:val="28"/>
                        <w:szCs w:val="28"/>
                      </w:rPr>
                      <w:fldChar w:fldCharType="separate"/>
                    </w:r>
                    <w:r>
                      <w:rPr>
                        <w:rStyle w:val="a6"/>
                        <w:rFonts w:asciiTheme="minorEastAsia" w:eastAsiaTheme="minorEastAsia" w:hAnsiTheme="minorEastAsia" w:cstheme="minorEastAsia" w:hint="eastAsia"/>
                        <w:sz w:val="28"/>
                        <w:szCs w:val="28"/>
                      </w:rPr>
                      <w:t>0</w:t>
                    </w:r>
                    <w:r>
                      <w:rPr>
                        <w:rStyle w:val="a6"/>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A99" w:rsidRDefault="00865A99">
      <w:r>
        <w:separator/>
      </w:r>
    </w:p>
  </w:footnote>
  <w:footnote w:type="continuationSeparator" w:id="0">
    <w:p w:rsidR="00865A99" w:rsidRDefault="00865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329" w:rsidRDefault="000C0329">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ADA3C11"/>
    <w:rsid w:val="000C0329"/>
    <w:rsid w:val="003168DA"/>
    <w:rsid w:val="003B552A"/>
    <w:rsid w:val="00865A99"/>
    <w:rsid w:val="008E4BA3"/>
    <w:rsid w:val="00AC1442"/>
    <w:rsid w:val="00EB3FFB"/>
    <w:rsid w:val="1ADA3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60AADB"/>
  <w15:docId w15:val="{CFBD95FD-DD09-49CF-97A4-87984D96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paragraph" w:customStyle="1" w:styleId="a7">
    <w:name w:val="标题名"/>
    <w:basedOn w:val="a3"/>
    <w:qFormat/>
    <w:pPr>
      <w:spacing w:line="560" w:lineRule="exact"/>
      <w:jc w:val="center"/>
    </w:pPr>
    <w:rPr>
      <w:rFonts w:hAnsi="宋体" w:cs="宋体" w:hint="eastAsia"/>
      <w:sz w:val="44"/>
      <w:szCs w:val="44"/>
    </w:rPr>
  </w:style>
  <w:style w:type="paragraph" w:customStyle="1" w:styleId="a8">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9">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Zhanglb</cp:lastModifiedBy>
  <cp:revision>5</cp:revision>
  <dcterms:created xsi:type="dcterms:W3CDTF">2019-12-26T03:22:00Z</dcterms:created>
  <dcterms:modified xsi:type="dcterms:W3CDTF">2025-12-10T06:03:00Z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